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 w:cstheme="majorEastAsia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sz w:val="36"/>
          <w:szCs w:val="36"/>
        </w:rPr>
        <w:t>药学系2018级三年高职学生转专业实施方案</w:t>
      </w:r>
    </w:p>
    <w:p/>
    <w:p/>
    <w:p>
      <w:pPr>
        <w:numPr>
          <w:ilvl w:val="0"/>
          <w:numId w:val="1"/>
        </w:numPr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报名条件</w:t>
      </w:r>
    </w:p>
    <w:p>
      <w:pPr>
        <w:spacing w:line="52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1.全日制三年大专一年级在读学生。</w:t>
      </w:r>
    </w:p>
    <w:p>
      <w:pPr>
        <w:spacing w:line="52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2.注册手续齐备，缴清学费及其它应缴费用。</w:t>
      </w:r>
    </w:p>
    <w:p>
      <w:pPr>
        <w:spacing w:line="52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3.在校期间未受过任何纪律处分。</w:t>
      </w:r>
    </w:p>
    <w:p>
      <w:pPr>
        <w:spacing w:line="52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4.身心健康，符合转入专业（专业方向）对身体条件的要求。</w:t>
      </w:r>
    </w:p>
    <w:p>
      <w:pPr>
        <w:spacing w:line="520" w:lineRule="exac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5.第一学期必修课、专业限选课的平均学分绩点数达2.5以上。</w:t>
      </w:r>
    </w:p>
    <w:p>
      <w:pPr>
        <w:numPr>
          <w:ilvl w:val="0"/>
          <w:numId w:val="0"/>
        </w:numPr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6.其他以《四川卫生康复职业学院三年高职学生转专业实施细则》中的要求为准。</w:t>
      </w:r>
    </w:p>
    <w:p>
      <w:pPr>
        <w:numPr>
          <w:ilvl w:val="0"/>
          <w:numId w:val="1"/>
        </w:numPr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录取名额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拟接收转专业</w:t>
      </w:r>
      <w:r>
        <w:rPr>
          <w:rFonts w:ascii="仿宋_GB2312" w:hAnsi="仿宋_GB2312" w:eastAsia="仿宋_GB2312" w:cs="仿宋_GB2312"/>
          <w:sz w:val="30"/>
          <w:szCs w:val="30"/>
        </w:rPr>
        <w:t>学生</w:t>
      </w:r>
      <w:r>
        <w:rPr>
          <w:rFonts w:hint="eastAsia" w:ascii="仿宋_GB2312" w:hAnsi="仿宋_GB2312" w:eastAsia="仿宋_GB2312" w:cs="仿宋_GB2312"/>
          <w:sz w:val="30"/>
          <w:szCs w:val="30"/>
        </w:rPr>
        <w:t>20人</w:t>
      </w:r>
      <w:r>
        <w:rPr>
          <w:rFonts w:ascii="仿宋_GB2312" w:hAnsi="仿宋_GB2312" w:eastAsia="仿宋_GB2312" w:cs="仿宋_GB2312"/>
          <w:sz w:val="30"/>
          <w:szCs w:val="30"/>
        </w:rPr>
        <w:t>，其中</w:t>
      </w:r>
      <w:r>
        <w:rPr>
          <w:rFonts w:hint="eastAsia" w:ascii="仿宋_GB2312" w:hAnsi="仿宋_GB2312" w:eastAsia="仿宋_GB2312" w:cs="仿宋_GB2312"/>
          <w:sz w:val="30"/>
          <w:szCs w:val="30"/>
        </w:rPr>
        <w:t>药学专业</w:t>
      </w:r>
      <w:r>
        <w:rPr>
          <w:rFonts w:ascii="仿宋_GB2312" w:hAnsi="仿宋_GB2312" w:eastAsia="仿宋_GB2312" w:cs="仿宋_GB2312"/>
          <w:sz w:val="30"/>
          <w:szCs w:val="30"/>
        </w:rPr>
        <w:t>1</w:t>
      </w:r>
      <w:r>
        <w:rPr>
          <w:rFonts w:hint="eastAsia" w:ascii="仿宋_GB2312" w:hAnsi="仿宋_GB2312" w:eastAsia="仿宋_GB2312" w:cs="仿宋_GB2312"/>
          <w:sz w:val="30"/>
          <w:szCs w:val="30"/>
        </w:rPr>
        <w:t>0人，</w:t>
      </w:r>
      <w:r>
        <w:rPr>
          <w:rFonts w:ascii="仿宋_GB2312" w:hAnsi="仿宋_GB2312" w:eastAsia="仿宋_GB2312" w:cs="仿宋_GB2312"/>
          <w:sz w:val="30"/>
          <w:szCs w:val="30"/>
        </w:rPr>
        <w:t>中药学</w:t>
      </w:r>
      <w:r>
        <w:rPr>
          <w:rFonts w:hint="eastAsia" w:ascii="仿宋_GB2312" w:hAnsi="仿宋_GB2312" w:eastAsia="仿宋_GB2312" w:cs="仿宋_GB2312"/>
          <w:sz w:val="30"/>
          <w:szCs w:val="30"/>
        </w:rPr>
        <w:t>专业5人</w:t>
      </w:r>
      <w:r>
        <w:rPr>
          <w:rFonts w:ascii="仿宋_GB2312" w:hAnsi="仿宋_GB2312" w:eastAsia="仿宋_GB2312" w:cs="仿宋_GB2312"/>
          <w:sz w:val="30"/>
          <w:szCs w:val="30"/>
        </w:rPr>
        <w:t>，药品经营与管理</w:t>
      </w:r>
      <w:r>
        <w:rPr>
          <w:rFonts w:hint="eastAsia" w:ascii="仿宋_GB2312" w:hAnsi="仿宋_GB2312" w:eastAsia="仿宋_GB2312" w:cs="仿宋_GB2312"/>
          <w:sz w:val="30"/>
          <w:szCs w:val="30"/>
        </w:rPr>
        <w:t>专业5人</w:t>
      </w:r>
      <w:r>
        <w:rPr>
          <w:rFonts w:ascii="仿宋_GB2312" w:hAnsi="仿宋_GB2312" w:eastAsia="仿宋_GB2312" w:cs="仿宋_GB2312"/>
          <w:sz w:val="30"/>
          <w:szCs w:val="30"/>
        </w:rPr>
        <w:t>。</w:t>
      </w:r>
    </w:p>
    <w:p>
      <w:pPr>
        <w:numPr>
          <w:ilvl w:val="0"/>
          <w:numId w:val="1"/>
        </w:numPr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考核方式</w:t>
      </w:r>
    </w:p>
    <w:p>
      <w:pPr>
        <w:pStyle w:val="6"/>
        <w:numPr>
          <w:ilvl w:val="0"/>
          <w:numId w:val="2"/>
        </w:numPr>
        <w:ind w:firstLineChars="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笔试：</w:t>
      </w:r>
      <w:r>
        <w:rPr>
          <w:rFonts w:hint="eastAsia" w:ascii="仿宋_GB2312" w:hAnsi="仿宋_GB2312" w:eastAsia="仿宋_GB2312" w:cs="仿宋_GB2312"/>
          <w:sz w:val="30"/>
          <w:szCs w:val="30"/>
        </w:rPr>
        <w:t>全院统一科目、统一组考。</w:t>
      </w:r>
    </w:p>
    <w:p>
      <w:pPr>
        <w:pStyle w:val="6"/>
        <w:numPr>
          <w:ilvl w:val="0"/>
          <w:numId w:val="2"/>
        </w:numPr>
        <w:ind w:firstLineChars="0"/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面试：</w:t>
      </w:r>
      <w:r>
        <w:rPr>
          <w:rFonts w:ascii="仿宋_GB2312" w:hAnsi="仿宋_GB2312" w:eastAsia="仿宋_GB2312" w:cs="仿宋_GB2312"/>
          <w:b/>
          <w:sz w:val="30"/>
          <w:szCs w:val="30"/>
        </w:rPr>
        <w:t xml:space="preserve"> </w:t>
      </w:r>
    </w:p>
    <w:p>
      <w:pPr>
        <w:ind w:firstLine="602" w:firstLineChars="200"/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1．面试时间、地点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（1）面试时间：2</w:t>
      </w:r>
      <w:r>
        <w:rPr>
          <w:rFonts w:ascii="仿宋_GB2312" w:hAnsi="仿宋_GB2312" w:eastAsia="仿宋_GB2312" w:cs="仿宋_GB2312"/>
          <w:sz w:val="30"/>
          <w:szCs w:val="30"/>
        </w:rPr>
        <w:t>019</w:t>
      </w:r>
      <w:r>
        <w:rPr>
          <w:rFonts w:hint="eastAsia" w:ascii="仿宋_GB2312" w:hAnsi="仿宋_GB2312" w:eastAsia="仿宋_GB2312" w:cs="仿宋_GB2312"/>
          <w:sz w:val="30"/>
          <w:szCs w:val="30"/>
        </w:rPr>
        <w:t>年2月2</w:t>
      </w:r>
      <w:r>
        <w:rPr>
          <w:rFonts w:ascii="仿宋_GB2312" w:hAnsi="仿宋_GB2312" w:eastAsia="仿宋_GB2312" w:cs="仿宋_GB2312"/>
          <w:sz w:val="30"/>
          <w:szCs w:val="30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</w:rPr>
        <w:t>日1</w:t>
      </w:r>
      <w:r>
        <w:rPr>
          <w:rFonts w:ascii="仿宋_GB2312" w:hAnsi="仿宋_GB2312" w:eastAsia="仿宋_GB2312" w:cs="仿宋_GB2312"/>
          <w:sz w:val="30"/>
          <w:szCs w:val="30"/>
        </w:rPr>
        <w:t>4</w:t>
      </w:r>
      <w:r>
        <w:rPr>
          <w:rFonts w:hint="eastAsia" w:ascii="仿宋_GB2312" w:hAnsi="仿宋_GB2312" w:eastAsia="仿宋_GB2312" w:cs="仿宋_GB2312"/>
          <w:sz w:val="30"/>
          <w:szCs w:val="30"/>
        </w:rPr>
        <w:t>:</w:t>
      </w:r>
      <w:r>
        <w:rPr>
          <w:rFonts w:ascii="仿宋_GB2312" w:hAnsi="仿宋_GB2312" w:eastAsia="仿宋_GB2312" w:cs="仿宋_GB2312"/>
          <w:sz w:val="30"/>
          <w:szCs w:val="30"/>
        </w:rPr>
        <w:t>30</w:t>
      </w:r>
      <w:r>
        <w:rPr>
          <w:rFonts w:hint="eastAsia" w:ascii="仿宋_GB2312" w:hAnsi="仿宋_GB2312" w:eastAsia="仿宋_GB2312" w:cs="仿宋_GB2312"/>
          <w:sz w:val="30"/>
          <w:szCs w:val="30"/>
        </w:rPr>
        <w:t>-</w:t>
      </w:r>
      <w:r>
        <w:rPr>
          <w:rFonts w:ascii="仿宋_GB2312" w:hAnsi="仿宋_GB2312" w:eastAsia="仿宋_GB2312" w:cs="仿宋_GB2312"/>
          <w:sz w:val="30"/>
          <w:szCs w:val="30"/>
        </w:rPr>
        <w:t>17</w:t>
      </w:r>
      <w:r>
        <w:rPr>
          <w:rFonts w:hint="eastAsia" w:ascii="仿宋_GB2312" w:hAnsi="仿宋_GB2312" w:eastAsia="仿宋_GB2312" w:cs="仿宋_GB2312"/>
          <w:sz w:val="30"/>
          <w:szCs w:val="30"/>
        </w:rPr>
        <w:t>:</w:t>
      </w:r>
      <w:r>
        <w:rPr>
          <w:rFonts w:ascii="仿宋_GB2312" w:hAnsi="仿宋_GB2312" w:eastAsia="仿宋_GB2312" w:cs="仿宋_GB2312"/>
          <w:sz w:val="30"/>
          <w:szCs w:val="30"/>
        </w:rPr>
        <w:t>00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（2）面试地点：2教A</w:t>
      </w:r>
      <w:r>
        <w:rPr>
          <w:rFonts w:ascii="仿宋_GB2312" w:hAnsi="仿宋_GB2312" w:eastAsia="仿宋_GB2312" w:cs="仿宋_GB2312"/>
          <w:sz w:val="30"/>
          <w:szCs w:val="30"/>
        </w:rPr>
        <w:t>514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ind w:firstLine="602" w:firstLineChars="200"/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2.面</w:t>
      </w:r>
      <w:bookmarkStart w:id="0" w:name="_GoBack"/>
      <w:r>
        <w:rPr>
          <w:rFonts w:hint="eastAsia" w:ascii="仿宋_GB2312" w:hAnsi="仿宋_GB2312" w:eastAsia="仿宋_GB2312" w:cs="仿宋_GB2312"/>
          <w:b/>
          <w:sz w:val="30"/>
          <w:szCs w:val="30"/>
        </w:rPr>
        <w:t>试</w:t>
      </w:r>
      <w:bookmarkEnd w:id="0"/>
      <w:r>
        <w:rPr>
          <w:rFonts w:hint="eastAsia" w:ascii="仿宋_GB2312" w:hAnsi="仿宋_GB2312" w:eastAsia="仿宋_GB2312" w:cs="仿宋_GB2312"/>
          <w:b/>
          <w:sz w:val="30"/>
          <w:szCs w:val="30"/>
        </w:rPr>
        <w:t>条件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按照笔试成绩由高到低，2:1比例进入面试。</w:t>
      </w:r>
    </w:p>
    <w:p>
      <w:pPr>
        <w:ind w:firstLine="602" w:firstLineChars="200"/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ascii="仿宋_GB2312" w:hAnsi="仿宋_GB2312" w:eastAsia="仿宋_GB2312" w:cs="仿宋_GB2312"/>
          <w:b/>
          <w:sz w:val="30"/>
          <w:szCs w:val="30"/>
        </w:rPr>
        <w:t>3.</w:t>
      </w:r>
      <w:r>
        <w:rPr>
          <w:rFonts w:hint="eastAsia" w:ascii="仿宋_GB2312" w:hAnsi="仿宋_GB2312" w:eastAsia="仿宋_GB2312" w:cs="仿宋_GB2312"/>
          <w:b/>
          <w:sz w:val="30"/>
          <w:szCs w:val="30"/>
        </w:rPr>
        <w:t>面试内容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（1）</w:t>
      </w:r>
      <w:r>
        <w:rPr>
          <w:rFonts w:ascii="仿宋_GB2312" w:hAnsi="仿宋_GB2312" w:eastAsia="仿宋_GB2312" w:cs="仿宋_GB2312"/>
          <w:sz w:val="30"/>
          <w:szCs w:val="30"/>
        </w:rPr>
        <w:t>个人介绍</w:t>
      </w:r>
      <w:r>
        <w:rPr>
          <w:rFonts w:hint="eastAsia" w:ascii="仿宋_GB2312" w:hAnsi="仿宋_GB2312" w:eastAsia="仿宋_GB2312" w:cs="仿宋_GB2312"/>
          <w:sz w:val="30"/>
          <w:szCs w:val="30"/>
        </w:rPr>
        <w:t>（20分）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本人特长</w:t>
      </w:r>
      <w:r>
        <w:rPr>
          <w:rFonts w:ascii="仿宋_GB2312" w:hAnsi="仿宋_GB2312" w:eastAsia="仿宋_GB2312" w:cs="仿宋_GB2312"/>
          <w:sz w:val="30"/>
          <w:szCs w:val="30"/>
        </w:rPr>
        <w:t>、爱好</w:t>
      </w:r>
      <w:r>
        <w:rPr>
          <w:rFonts w:hint="eastAsia" w:ascii="仿宋_GB2312" w:hAnsi="仿宋_GB2312" w:eastAsia="仿宋_GB2312" w:cs="仿宋_GB2312"/>
          <w:sz w:val="30"/>
          <w:szCs w:val="30"/>
        </w:rPr>
        <w:t>，转入</w:t>
      </w:r>
      <w:r>
        <w:rPr>
          <w:rFonts w:ascii="仿宋_GB2312" w:hAnsi="仿宋_GB2312" w:eastAsia="仿宋_GB2312" w:cs="仿宋_GB2312"/>
          <w:sz w:val="30"/>
          <w:szCs w:val="30"/>
        </w:rPr>
        <w:t>本专业学习的原因及自身优势</w:t>
      </w:r>
      <w:r>
        <w:rPr>
          <w:rFonts w:hint="eastAsia" w:ascii="仿宋_GB2312" w:hAnsi="仿宋_GB2312" w:eastAsia="仿宋_GB2312" w:cs="仿宋_GB2312"/>
          <w:sz w:val="30"/>
          <w:szCs w:val="30"/>
        </w:rPr>
        <w:t>；第一学期</w:t>
      </w:r>
      <w:r>
        <w:rPr>
          <w:rFonts w:ascii="仿宋_GB2312" w:hAnsi="仿宋_GB2312" w:eastAsia="仿宋_GB2312" w:cs="仿宋_GB2312"/>
          <w:sz w:val="30"/>
          <w:szCs w:val="30"/>
        </w:rPr>
        <w:t>学习</w:t>
      </w:r>
      <w:r>
        <w:rPr>
          <w:rFonts w:hint="eastAsia" w:ascii="仿宋_GB2312" w:hAnsi="仿宋_GB2312" w:eastAsia="仿宋_GB2312" w:cs="仿宋_GB2312"/>
          <w:sz w:val="30"/>
          <w:szCs w:val="30"/>
        </w:rPr>
        <w:t>表现</w:t>
      </w:r>
      <w:r>
        <w:rPr>
          <w:rFonts w:ascii="仿宋_GB2312" w:hAnsi="仿宋_GB2312" w:eastAsia="仿宋_GB2312" w:cs="仿宋_GB2312"/>
          <w:sz w:val="30"/>
          <w:szCs w:val="30"/>
        </w:rPr>
        <w:t>、</w:t>
      </w:r>
      <w:r>
        <w:rPr>
          <w:rFonts w:hint="eastAsia" w:ascii="仿宋_GB2312" w:hAnsi="仿宋_GB2312" w:eastAsia="仿宋_GB2312" w:cs="仿宋_GB2312"/>
          <w:sz w:val="30"/>
          <w:szCs w:val="30"/>
        </w:rPr>
        <w:t>参加活动</w:t>
      </w:r>
      <w:r>
        <w:rPr>
          <w:rFonts w:ascii="仿宋_GB2312" w:hAnsi="仿宋_GB2312" w:eastAsia="仿宋_GB2312" w:cs="仿宋_GB2312"/>
          <w:sz w:val="30"/>
          <w:szCs w:val="30"/>
        </w:rPr>
        <w:t>及获奖情况。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（2）专业职业素养</w:t>
      </w:r>
      <w:r>
        <w:rPr>
          <w:rFonts w:ascii="仿宋_GB2312" w:hAnsi="仿宋_GB2312" w:eastAsia="仿宋_GB2312" w:cs="仿宋_GB2312"/>
          <w:sz w:val="30"/>
          <w:szCs w:val="30"/>
        </w:rPr>
        <w:t>（</w:t>
      </w:r>
      <w:r>
        <w:rPr>
          <w:rFonts w:hint="eastAsia" w:ascii="仿宋_GB2312" w:hAnsi="仿宋_GB2312" w:eastAsia="仿宋_GB2312" w:cs="仿宋_GB2312"/>
          <w:sz w:val="30"/>
          <w:szCs w:val="30"/>
        </w:rPr>
        <w:t>50分</w:t>
      </w:r>
      <w:r>
        <w:rPr>
          <w:rFonts w:ascii="仿宋_GB2312" w:hAnsi="仿宋_GB2312" w:eastAsia="仿宋_GB2312" w:cs="仿宋_GB2312"/>
          <w:sz w:val="30"/>
          <w:szCs w:val="30"/>
        </w:rPr>
        <w:t>）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举止礼仪、语言表达能力，转入新专业学习</w:t>
      </w:r>
      <w:r>
        <w:rPr>
          <w:rFonts w:ascii="仿宋_GB2312" w:hAnsi="仿宋_GB2312" w:eastAsia="仿宋_GB2312" w:cs="仿宋_GB2312"/>
          <w:sz w:val="30"/>
          <w:szCs w:val="30"/>
        </w:rPr>
        <w:t>计划，</w:t>
      </w:r>
      <w:r>
        <w:rPr>
          <w:rFonts w:hint="eastAsia" w:ascii="仿宋_GB2312" w:hAnsi="仿宋_GB2312" w:eastAsia="仿宋_GB2312" w:cs="仿宋_GB2312"/>
          <w:sz w:val="30"/>
          <w:szCs w:val="30"/>
        </w:rPr>
        <w:t>专业问题（评委随机提问）。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（3）专业认识</w:t>
      </w:r>
      <w:r>
        <w:rPr>
          <w:rFonts w:ascii="仿宋_GB2312" w:hAnsi="仿宋_GB2312" w:eastAsia="仿宋_GB2312" w:cs="仿宋_GB2312"/>
          <w:sz w:val="30"/>
          <w:szCs w:val="30"/>
        </w:rPr>
        <w:t>（</w:t>
      </w:r>
      <w:r>
        <w:rPr>
          <w:rFonts w:hint="eastAsia" w:ascii="仿宋_GB2312" w:hAnsi="仿宋_GB2312" w:eastAsia="仿宋_GB2312" w:cs="仿宋_GB2312"/>
          <w:sz w:val="30"/>
          <w:szCs w:val="30"/>
        </w:rPr>
        <w:t>30分</w:t>
      </w:r>
      <w:r>
        <w:rPr>
          <w:rFonts w:ascii="仿宋_GB2312" w:hAnsi="仿宋_GB2312" w:eastAsia="仿宋_GB2312" w:cs="仿宋_GB2312"/>
          <w:sz w:val="30"/>
          <w:szCs w:val="30"/>
        </w:rPr>
        <w:t>）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是否了解</w:t>
      </w:r>
      <w:r>
        <w:rPr>
          <w:rFonts w:ascii="仿宋_GB2312" w:hAnsi="仿宋_GB2312" w:eastAsia="仿宋_GB2312" w:cs="仿宋_GB2312"/>
          <w:sz w:val="30"/>
          <w:szCs w:val="30"/>
        </w:rPr>
        <w:t>本专业课程设置</w:t>
      </w:r>
      <w:r>
        <w:rPr>
          <w:rFonts w:hint="eastAsia" w:ascii="仿宋_GB2312" w:hAnsi="仿宋_GB2312" w:eastAsia="仿宋_GB2312" w:cs="仿宋_GB2312"/>
          <w:sz w:val="30"/>
          <w:szCs w:val="30"/>
        </w:rPr>
        <w:t>、人才培养目标，对本专业发展现状</w:t>
      </w:r>
      <w:r>
        <w:rPr>
          <w:rFonts w:ascii="仿宋_GB2312" w:hAnsi="仿宋_GB2312" w:eastAsia="仿宋_GB2312" w:cs="仿宋_GB2312"/>
          <w:sz w:val="30"/>
          <w:szCs w:val="30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</w:rPr>
        <w:t>涉及</w:t>
      </w:r>
      <w:r>
        <w:rPr>
          <w:rFonts w:ascii="仿宋_GB2312" w:hAnsi="仿宋_GB2312" w:eastAsia="仿宋_GB2312" w:cs="仿宋_GB2312"/>
          <w:sz w:val="30"/>
          <w:szCs w:val="30"/>
        </w:rPr>
        <w:t>行业</w:t>
      </w:r>
      <w:r>
        <w:rPr>
          <w:rFonts w:hint="eastAsia" w:ascii="仿宋_GB2312" w:hAnsi="仿宋_GB2312" w:eastAsia="仿宋_GB2312" w:cs="仿宋_GB2312"/>
          <w:sz w:val="30"/>
          <w:szCs w:val="30"/>
        </w:rPr>
        <w:t>、</w:t>
      </w:r>
      <w:r>
        <w:rPr>
          <w:rFonts w:ascii="仿宋_GB2312" w:hAnsi="仿宋_GB2312" w:eastAsia="仿宋_GB2312" w:cs="仿宋_GB2312"/>
          <w:sz w:val="30"/>
          <w:szCs w:val="30"/>
        </w:rPr>
        <w:t>岗位及就业</w:t>
      </w:r>
      <w:r>
        <w:rPr>
          <w:rFonts w:hint="eastAsia" w:ascii="仿宋_GB2312" w:hAnsi="仿宋_GB2312" w:eastAsia="仿宋_GB2312" w:cs="仿宋_GB2312"/>
          <w:sz w:val="30"/>
          <w:szCs w:val="30"/>
        </w:rPr>
        <w:t>方向</w:t>
      </w:r>
      <w:r>
        <w:rPr>
          <w:rFonts w:ascii="仿宋_GB2312" w:hAnsi="仿宋_GB2312" w:eastAsia="仿宋_GB2312" w:cs="仿宋_GB2312"/>
          <w:sz w:val="30"/>
          <w:szCs w:val="30"/>
        </w:rPr>
        <w:t>认知</w:t>
      </w:r>
      <w:r>
        <w:rPr>
          <w:rFonts w:hint="eastAsia" w:ascii="仿宋_GB2312" w:hAnsi="仿宋_GB2312" w:eastAsia="仿宋_GB2312" w:cs="仿宋_GB2312"/>
          <w:sz w:val="30"/>
          <w:szCs w:val="30"/>
        </w:rPr>
        <w:t>情况</w:t>
      </w:r>
      <w:r>
        <w:rPr>
          <w:rFonts w:ascii="仿宋_GB2312" w:hAnsi="仿宋_GB2312" w:eastAsia="仿宋_GB2312" w:cs="仿宋_GB2312"/>
          <w:sz w:val="30"/>
          <w:szCs w:val="30"/>
        </w:rPr>
        <w:t>。</w:t>
      </w:r>
    </w:p>
    <w:p>
      <w:pPr>
        <w:ind w:firstLine="602" w:firstLineChars="200"/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4.面试程序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1.考生提前2</w:t>
      </w:r>
      <w:r>
        <w:rPr>
          <w:rFonts w:ascii="仿宋_GB2312" w:hAnsi="仿宋_GB2312" w:eastAsia="仿宋_GB2312" w:cs="仿宋_GB2312"/>
          <w:sz w:val="30"/>
          <w:szCs w:val="30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分钟前到达候考室（2-</w:t>
      </w:r>
      <w:r>
        <w:rPr>
          <w:rFonts w:ascii="仿宋_GB2312" w:hAnsi="仿宋_GB2312" w:eastAsia="仿宋_GB2312" w:cs="仿宋_GB2312"/>
          <w:sz w:val="30"/>
          <w:szCs w:val="30"/>
        </w:rPr>
        <w:t>A512</w:t>
      </w:r>
      <w:r>
        <w:rPr>
          <w:rFonts w:hint="eastAsia" w:ascii="仿宋_GB2312" w:hAnsi="仿宋_GB2312" w:eastAsia="仿宋_GB2312" w:cs="仿宋_GB2312"/>
          <w:sz w:val="30"/>
          <w:szCs w:val="30"/>
        </w:rPr>
        <w:t>）签字确认，校验证件，抽签</w:t>
      </w:r>
      <w:r>
        <w:rPr>
          <w:rFonts w:ascii="仿宋_GB2312" w:hAnsi="仿宋_GB2312" w:eastAsia="仿宋_GB2312" w:cs="仿宋_GB2312"/>
          <w:sz w:val="30"/>
          <w:szCs w:val="30"/>
        </w:rPr>
        <w:t>候考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2.考生按抽签顺序</w:t>
      </w:r>
      <w:r>
        <w:rPr>
          <w:rFonts w:ascii="仿宋_GB2312" w:hAnsi="仿宋_GB2312" w:eastAsia="仿宋_GB2312" w:cs="仿宋_GB2312"/>
          <w:sz w:val="30"/>
          <w:szCs w:val="30"/>
        </w:rPr>
        <w:t>进入考场，面试时间约</w:t>
      </w:r>
      <w:r>
        <w:rPr>
          <w:rFonts w:hint="eastAsia" w:ascii="仿宋_GB2312" w:hAnsi="仿宋_GB2312" w:eastAsia="仿宋_GB2312" w:cs="仿宋_GB2312"/>
          <w:sz w:val="30"/>
          <w:szCs w:val="30"/>
        </w:rPr>
        <w:t>10分钟。</w:t>
      </w:r>
      <w:r>
        <w:t> 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</w:t>
      </w:r>
      <w:r>
        <w:rPr>
          <w:rFonts w:ascii="仿宋_GB2312" w:hAnsi="仿宋_GB2312" w:eastAsia="仿宋_GB2312" w:cs="仿宋_GB2312"/>
          <w:sz w:val="30"/>
          <w:szCs w:val="30"/>
        </w:rPr>
        <w:t>.</w:t>
      </w:r>
      <w:r>
        <w:rPr>
          <w:rFonts w:hint="eastAsia" w:ascii="仿宋_GB2312" w:hAnsi="仿宋_GB2312" w:eastAsia="仿宋_GB2312" w:cs="仿宋_GB2312"/>
          <w:sz w:val="30"/>
          <w:szCs w:val="30"/>
        </w:rPr>
        <w:t>评委</w:t>
      </w:r>
      <w:r>
        <w:rPr>
          <w:rFonts w:ascii="仿宋_GB2312" w:hAnsi="仿宋_GB2312" w:eastAsia="仿宋_GB2312" w:cs="仿宋_GB2312"/>
          <w:sz w:val="30"/>
          <w:szCs w:val="30"/>
        </w:rPr>
        <w:t>现场评分，汇总统计。</w:t>
      </w:r>
    </w:p>
    <w:p>
      <w:pPr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（三）成绩计算</w:t>
      </w:r>
      <w:r>
        <w:rPr>
          <w:rFonts w:ascii="仿宋_GB2312" w:hAnsi="仿宋_GB2312" w:eastAsia="仿宋_GB2312" w:cs="仿宋_GB2312"/>
          <w:b/>
          <w:sz w:val="30"/>
          <w:szCs w:val="30"/>
        </w:rPr>
        <w:t>：</w:t>
      </w:r>
      <w:r>
        <w:rPr>
          <w:rFonts w:hint="eastAsia" w:ascii="仿宋_GB2312" w:hAnsi="仿宋_GB2312" w:eastAsia="仿宋_GB2312" w:cs="仿宋_GB2312"/>
          <w:sz w:val="30"/>
          <w:szCs w:val="30"/>
        </w:rPr>
        <w:t>笔试成绩250分折算成100分计算，面试成绩按照100分计算。综合成绩=折算后笔试成绩50%+面试成绩50%。</w:t>
      </w:r>
    </w:p>
    <w:p>
      <w:pPr>
        <w:numPr>
          <w:ilvl w:val="0"/>
          <w:numId w:val="1"/>
        </w:numPr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其他要求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因</w:t>
      </w:r>
      <w:r>
        <w:rPr>
          <w:rFonts w:ascii="仿宋_GB2312" w:hAnsi="仿宋_GB2312" w:eastAsia="仿宋_GB2312" w:cs="仿宋_GB2312"/>
          <w:sz w:val="30"/>
          <w:szCs w:val="30"/>
        </w:rPr>
        <w:t>专业课程特点，药学专业优先考虑理科生</w:t>
      </w:r>
      <w:r>
        <w:rPr>
          <w:rFonts w:hint="eastAsia" w:ascii="仿宋_GB2312" w:hAnsi="仿宋_GB2312" w:eastAsia="仿宋_GB2312" w:cs="仿宋_GB2312"/>
          <w:sz w:val="30"/>
          <w:szCs w:val="30"/>
        </w:rPr>
        <w:t>。所有专业均不接收综合成绩60分以下者。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045143"/>
    <w:multiLevelType w:val="multilevel"/>
    <w:tmpl w:val="2C045143"/>
    <w:lvl w:ilvl="0" w:tentative="0">
      <w:start w:val="1"/>
      <w:numFmt w:val="japaneseCounting"/>
      <w:lvlText w:val="（%1）"/>
      <w:lvlJc w:val="left"/>
      <w:pPr>
        <w:ind w:left="1080" w:hanging="108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11BEC25"/>
    <w:multiLevelType w:val="singleLevel"/>
    <w:tmpl w:val="611BEC2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68D"/>
    <w:rsid w:val="000A46E6"/>
    <w:rsid w:val="00431250"/>
    <w:rsid w:val="00621C3C"/>
    <w:rsid w:val="00687799"/>
    <w:rsid w:val="0069223A"/>
    <w:rsid w:val="00694B18"/>
    <w:rsid w:val="006C426C"/>
    <w:rsid w:val="00857982"/>
    <w:rsid w:val="008F5FBF"/>
    <w:rsid w:val="0099068D"/>
    <w:rsid w:val="009A05BF"/>
    <w:rsid w:val="00A1754F"/>
    <w:rsid w:val="00A3180A"/>
    <w:rsid w:val="00A43BED"/>
    <w:rsid w:val="00B15F12"/>
    <w:rsid w:val="00C42619"/>
    <w:rsid w:val="00D449BF"/>
    <w:rsid w:val="00E41B10"/>
    <w:rsid w:val="23EF2E89"/>
    <w:rsid w:val="5EDF7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nhideWhenUsed="0" w:uiPriority="0" w:semiHidden="0" w:name="Table Subtle 2"/>
    <w:lsdException w:uiPriority="0" w:name="Table Web 1"/>
    <w:lsdException w:uiPriority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uiPriority w:val="99"/>
    <w:pPr>
      <w:ind w:firstLine="420" w:firstLineChars="200"/>
    </w:pPr>
  </w:style>
  <w:style w:type="character" w:customStyle="1" w:styleId="7">
    <w:name w:val="页眉 字符"/>
    <w:basedOn w:val="4"/>
    <w:link w:val="3"/>
    <w:uiPriority w:val="0"/>
    <w:rPr>
      <w:kern w:val="2"/>
      <w:sz w:val="18"/>
      <w:szCs w:val="18"/>
    </w:rPr>
  </w:style>
  <w:style w:type="character" w:customStyle="1" w:styleId="8">
    <w:name w:val="页脚 字符"/>
    <w:basedOn w:val="4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598</Words>
  <Characters>80</Characters>
  <Lines>1</Lines>
  <Paragraphs>1</Paragraphs>
  <TotalTime>2</TotalTime>
  <ScaleCrop>false</ScaleCrop>
  <LinksUpToDate>false</LinksUpToDate>
  <CharactersWithSpaces>677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2019-01-02T12:31:00Z</dcterms:created>
  <dc:creator>Administrator</dc:creator>
  <cp:lastModifiedBy>停泊∮海湾</cp:lastModifiedBy>
  <dcterms:modified xsi:type="dcterms:W3CDTF">2019-01-08T03:20:44Z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